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E080" w14:textId="77777777"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14:paraId="4B325AB2" w14:textId="77777777" w:rsidR="000B368F" w:rsidRPr="000B368F" w:rsidRDefault="000B368F" w:rsidP="000B368F">
      <w:pPr>
        <w:rPr>
          <w:rFonts w:ascii="Calibri" w:eastAsia="Calibri" w:hAnsi="Calibri" w:cs="Arial"/>
          <w:color w:val="000000"/>
          <w:sz w:val="18"/>
          <w:szCs w:val="18"/>
        </w:rPr>
      </w:pPr>
      <w:r w:rsidRPr="000B368F">
        <w:rPr>
          <w:rFonts w:ascii="Calibri" w:eastAsia="Calibri" w:hAnsi="Calibri" w:cs="Arial"/>
          <w:color w:val="000000"/>
          <w:sz w:val="18"/>
          <w:szCs w:val="18"/>
        </w:rPr>
        <w:t>The Commercial team is responsible for all aspects of our build cost incorporating estimating, procurement and quantity surveying.  We are focused on delivering the best overall value, quality and service for Taylor Wimpey from our carefully selected suppliers, subcontractors and specialists to ensure that the homes that we sell are of a high quality and are built safely, efficiently, cost effectively and with minimal social and environmental impact.  We look to optimise the value of each site not only during the initial acquisition process, but throughout the planning and development stages so that the original value is not only protected but enhanced.  To constantly increase efficiency and tightly control costs is part of the Taylor Wimpey culture and remains central to delivering enhanced returns.</w:t>
      </w:r>
    </w:p>
    <w:p w14:paraId="65CE2AF0" w14:textId="77777777" w:rsidR="000B368F" w:rsidRPr="000B368F" w:rsidRDefault="000B368F" w:rsidP="000B368F">
      <w:pPr>
        <w:rPr>
          <w:rFonts w:ascii="Calibri" w:eastAsia="Calibri" w:hAnsi="Calibri" w:cs="Arial"/>
          <w:color w:val="000000"/>
          <w:sz w:val="18"/>
          <w:szCs w:val="18"/>
        </w:rPr>
      </w:pPr>
    </w:p>
    <w:p w14:paraId="2A6BE086" w14:textId="6F541139" w:rsidR="00AB5EED" w:rsidRDefault="000B368F" w:rsidP="000B368F">
      <w:pPr>
        <w:rPr>
          <w:rFonts w:ascii="Calibri" w:eastAsia="Calibri" w:hAnsi="Calibri" w:cs="Arial"/>
          <w:color w:val="000000"/>
          <w:sz w:val="18"/>
          <w:szCs w:val="18"/>
        </w:rPr>
      </w:pPr>
      <w:r w:rsidRPr="000B368F">
        <w:rPr>
          <w:rFonts w:ascii="Calibri" w:eastAsia="Calibri" w:hAnsi="Calibri" w:cs="Arial"/>
          <w:color w:val="000000"/>
          <w:sz w:val="18"/>
          <w:szCs w:val="18"/>
        </w:rPr>
        <w:t>We currently have an excellent opportunity for a Quantity Surveyor to join our team in our regional office.  This is a challenging and rewarding role and we are looking for an impressive, ambitious professional with proven experience in their field looking to take the next step in their career.</w:t>
      </w:r>
    </w:p>
    <w:p w14:paraId="38B7696B" w14:textId="77777777" w:rsidR="000B368F" w:rsidRDefault="000B368F" w:rsidP="000B368F">
      <w:pPr>
        <w:rPr>
          <w:rFonts w:ascii="Calibri" w:hAnsi="Calibri"/>
          <w:sz w:val="18"/>
          <w:szCs w:val="18"/>
        </w:rPr>
      </w:pPr>
    </w:p>
    <w:p w14:paraId="2A6BE087"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14:paraId="1A0ACB2F" w14:textId="73F714EF"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Full cost management responsibility for </w:t>
      </w:r>
      <w:proofErr w:type="gramStart"/>
      <w:r>
        <w:rPr>
          <w:rFonts w:cs="Arial"/>
          <w:color w:val="000000"/>
          <w:sz w:val="18"/>
          <w:szCs w:val="18"/>
        </w:rPr>
        <w:t>a number of</w:t>
      </w:r>
      <w:proofErr w:type="gramEnd"/>
      <w:r w:rsidRPr="00282311">
        <w:rPr>
          <w:rFonts w:cs="Arial"/>
          <w:color w:val="000000"/>
          <w:sz w:val="18"/>
          <w:szCs w:val="18"/>
        </w:rPr>
        <w:t xml:space="preserve"> developments.</w:t>
      </w:r>
    </w:p>
    <w:p w14:paraId="2B21892A"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Ensure compliance with all control procedures and deadlines set down in the Commercial Manual and Operating Framework.</w:t>
      </w:r>
    </w:p>
    <w:p w14:paraId="4097E7D9" w14:textId="56AD1DC0"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Positively represent commercial at project meetings, pre-tender and pre-start meetings </w:t>
      </w:r>
    </w:p>
    <w:p w14:paraId="1EA656A3"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Lead Groundworks subcontract procurement cycle working closely with technical team, contractors and external consultants.</w:t>
      </w:r>
    </w:p>
    <w:p w14:paraId="03B1F002" w14:textId="4D3905C6"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Liaise with the Procurement team </w:t>
      </w:r>
    </w:p>
    <w:p w14:paraId="5C513F30" w14:textId="34EEE00C"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Work closely with the production and technical teams to promote and monitor site budget cost control throughout the development cycle. </w:t>
      </w:r>
    </w:p>
    <w:p w14:paraId="33F1F2B3"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Identify and </w:t>
      </w:r>
      <w:proofErr w:type="spellStart"/>
      <w:r w:rsidRPr="00282311">
        <w:rPr>
          <w:rFonts w:cs="Arial"/>
          <w:color w:val="000000"/>
          <w:sz w:val="18"/>
          <w:szCs w:val="18"/>
        </w:rPr>
        <w:t>minimise</w:t>
      </w:r>
      <w:proofErr w:type="spellEnd"/>
      <w:r w:rsidRPr="00282311">
        <w:rPr>
          <w:rFonts w:cs="Arial"/>
          <w:color w:val="000000"/>
          <w:sz w:val="18"/>
          <w:szCs w:val="18"/>
        </w:rPr>
        <w:t xml:space="preserve"> any cost excesses, pursue and </w:t>
      </w:r>
      <w:proofErr w:type="spellStart"/>
      <w:r w:rsidRPr="00282311">
        <w:rPr>
          <w:rFonts w:cs="Arial"/>
          <w:color w:val="000000"/>
          <w:sz w:val="18"/>
          <w:szCs w:val="18"/>
        </w:rPr>
        <w:t>maximise</w:t>
      </w:r>
      <w:proofErr w:type="spellEnd"/>
      <w:r w:rsidRPr="00282311">
        <w:rPr>
          <w:rFonts w:cs="Arial"/>
          <w:color w:val="000000"/>
          <w:sz w:val="18"/>
          <w:szCs w:val="18"/>
        </w:rPr>
        <w:t xml:space="preserve"> any cost saving or value improvement opportunities.</w:t>
      </w:r>
    </w:p>
    <w:p w14:paraId="63F883D5"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Carry out monthly valuations of site progress.</w:t>
      </w:r>
    </w:p>
    <w:p w14:paraId="4FE6752B" w14:textId="4B15FCE8"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Evaluate and agree variations and site instructions</w:t>
      </w:r>
    </w:p>
    <w:p w14:paraId="5729D6F3"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Compile and process subcontractor payments, variation orders and dayworks.</w:t>
      </w:r>
    </w:p>
    <w:p w14:paraId="7B280A6E" w14:textId="43DB6391"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Complete full quarterly Cost Value Reconciliation</w:t>
      </w:r>
      <w:r>
        <w:rPr>
          <w:rFonts w:cs="Arial"/>
          <w:color w:val="000000"/>
          <w:sz w:val="18"/>
          <w:szCs w:val="18"/>
        </w:rPr>
        <w:t xml:space="preserve"> </w:t>
      </w:r>
      <w:r w:rsidRPr="00282311">
        <w:rPr>
          <w:rFonts w:cs="Arial"/>
          <w:color w:val="000000"/>
          <w:sz w:val="18"/>
          <w:szCs w:val="18"/>
        </w:rPr>
        <w:t>process and prepare and present reporting information for Profit &amp; Loss meetings, explaining cost to date, estimated final cost, and all cost movements.</w:t>
      </w:r>
    </w:p>
    <w:p w14:paraId="4A251C37"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Forecast final accounts and prepare and present cost to complete reports.</w:t>
      </w:r>
    </w:p>
    <w:p w14:paraId="0CB8465F" w14:textId="2B2E432B"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Monitor payment </w:t>
      </w:r>
      <w:r>
        <w:rPr>
          <w:rFonts w:cs="Arial"/>
          <w:color w:val="000000"/>
          <w:sz w:val="18"/>
          <w:szCs w:val="18"/>
        </w:rPr>
        <w:t xml:space="preserve">and </w:t>
      </w:r>
      <w:r w:rsidRPr="00282311">
        <w:rPr>
          <w:rFonts w:cs="Arial"/>
          <w:color w:val="000000"/>
          <w:sz w:val="18"/>
          <w:szCs w:val="18"/>
        </w:rPr>
        <w:t>invoicing procedures</w:t>
      </w:r>
    </w:p>
    <w:p w14:paraId="38FB4599" w14:textId="18F2DFF4"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 xml:space="preserve">Liaise with subcontractors </w:t>
      </w:r>
      <w:proofErr w:type="gramStart"/>
      <w:r w:rsidRPr="00282311">
        <w:rPr>
          <w:rFonts w:cs="Arial"/>
          <w:color w:val="000000"/>
          <w:sz w:val="18"/>
          <w:szCs w:val="18"/>
        </w:rPr>
        <w:t>in order to</w:t>
      </w:r>
      <w:proofErr w:type="gramEnd"/>
      <w:r w:rsidRPr="00282311">
        <w:rPr>
          <w:rFonts w:cs="Arial"/>
          <w:color w:val="000000"/>
          <w:sz w:val="18"/>
          <w:szCs w:val="18"/>
        </w:rPr>
        <w:t xml:space="preserve"> ensure sufficient resources are available and deployed in accordance with the production programme</w:t>
      </w:r>
    </w:p>
    <w:p w14:paraId="1AA9C5B1" w14:textId="77777777" w:rsidR="00282311" w:rsidRPr="00282311" w:rsidRDefault="00282311" w:rsidP="00282311">
      <w:pPr>
        <w:pStyle w:val="ListParagraph"/>
        <w:numPr>
          <w:ilvl w:val="0"/>
          <w:numId w:val="11"/>
        </w:numPr>
        <w:tabs>
          <w:tab w:val="num" w:pos="720"/>
        </w:tabs>
        <w:rPr>
          <w:rFonts w:cs="Arial"/>
          <w:color w:val="000000"/>
          <w:sz w:val="18"/>
          <w:szCs w:val="18"/>
        </w:rPr>
      </w:pPr>
      <w:r w:rsidRPr="00282311">
        <w:rPr>
          <w:rFonts w:cs="Arial"/>
          <w:color w:val="000000"/>
          <w:sz w:val="18"/>
          <w:szCs w:val="18"/>
        </w:rPr>
        <w:t>Assist with closed site procedures including site adoption works and manage closed site cost provisions.</w:t>
      </w:r>
    </w:p>
    <w:p w14:paraId="2A6BE098" w14:textId="55595EED" w:rsidR="008747B4" w:rsidRDefault="008747B4" w:rsidP="00DC300B">
      <w:pPr>
        <w:rPr>
          <w:sz w:val="18"/>
          <w:szCs w:val="18"/>
        </w:rPr>
      </w:pPr>
    </w:p>
    <w:p w14:paraId="609B88CE" w14:textId="77777777" w:rsidR="00DC300B" w:rsidRPr="00DC300B" w:rsidRDefault="00DC300B" w:rsidP="00DC300B">
      <w:pPr>
        <w:rPr>
          <w:sz w:val="18"/>
          <w:szCs w:val="18"/>
        </w:rPr>
      </w:pPr>
    </w:p>
    <w:p w14:paraId="2A6BE099" w14:textId="77777777"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14:paraId="757E08C6" w14:textId="77777777" w:rsidR="00282495" w:rsidRPr="00282495" w:rsidRDefault="00282495" w:rsidP="00282495">
      <w:pPr>
        <w:pStyle w:val="ListParagraph"/>
        <w:numPr>
          <w:ilvl w:val="0"/>
          <w:numId w:val="12"/>
        </w:numPr>
        <w:jc w:val="both"/>
        <w:rPr>
          <w:rFonts w:asciiTheme="minorHAnsi" w:hAnsiTheme="minorHAnsi"/>
          <w:sz w:val="18"/>
          <w:szCs w:val="18"/>
        </w:rPr>
      </w:pPr>
      <w:r w:rsidRPr="00282495">
        <w:rPr>
          <w:rFonts w:asciiTheme="minorHAnsi" w:hAnsiTheme="minorHAnsi"/>
          <w:sz w:val="18"/>
          <w:szCs w:val="18"/>
        </w:rPr>
        <w:t>BSC in Quantity Surveying, with 4+ years post graduate experience in house building</w:t>
      </w:r>
    </w:p>
    <w:p w14:paraId="301F2AE6" w14:textId="77777777" w:rsidR="00282495" w:rsidRDefault="00282495" w:rsidP="00282495">
      <w:pPr>
        <w:pStyle w:val="ListParagraph"/>
        <w:numPr>
          <w:ilvl w:val="0"/>
          <w:numId w:val="12"/>
        </w:numPr>
        <w:jc w:val="both"/>
        <w:rPr>
          <w:rFonts w:asciiTheme="minorHAnsi" w:hAnsiTheme="minorHAnsi"/>
          <w:sz w:val="18"/>
          <w:szCs w:val="18"/>
        </w:rPr>
      </w:pPr>
      <w:r w:rsidRPr="00282495">
        <w:rPr>
          <w:rFonts w:asciiTheme="minorHAnsi" w:hAnsiTheme="minorHAnsi"/>
          <w:sz w:val="18"/>
          <w:szCs w:val="18"/>
        </w:rPr>
        <w:t>Good knowledge of Building Regulations, NHBC and Health and Safety requirements.</w:t>
      </w:r>
    </w:p>
    <w:p w14:paraId="5021E639" w14:textId="77777777" w:rsidR="00282495" w:rsidRDefault="00282495" w:rsidP="00282495">
      <w:pPr>
        <w:pStyle w:val="ListParagraph"/>
        <w:numPr>
          <w:ilvl w:val="0"/>
          <w:numId w:val="12"/>
        </w:numPr>
        <w:jc w:val="both"/>
        <w:rPr>
          <w:rFonts w:asciiTheme="minorHAnsi" w:hAnsiTheme="minorHAnsi"/>
          <w:sz w:val="18"/>
          <w:szCs w:val="18"/>
        </w:rPr>
      </w:pPr>
      <w:r w:rsidRPr="00282495">
        <w:rPr>
          <w:rFonts w:asciiTheme="minorHAnsi" w:hAnsiTheme="minorHAnsi"/>
          <w:sz w:val="18"/>
          <w:szCs w:val="18"/>
        </w:rPr>
        <w:t>Articulate, numerate, analytical with strong communication and negotiation skills.</w:t>
      </w:r>
    </w:p>
    <w:p w14:paraId="2A6BE09F" w14:textId="1DE4085F" w:rsidR="00421F8C" w:rsidRPr="00282495" w:rsidRDefault="00282495" w:rsidP="00282495">
      <w:pPr>
        <w:pStyle w:val="ListParagraph"/>
        <w:numPr>
          <w:ilvl w:val="0"/>
          <w:numId w:val="12"/>
        </w:numPr>
        <w:jc w:val="both"/>
        <w:rPr>
          <w:rFonts w:asciiTheme="minorHAnsi" w:hAnsiTheme="minorHAnsi"/>
          <w:sz w:val="18"/>
          <w:szCs w:val="18"/>
        </w:rPr>
      </w:pPr>
      <w:bookmarkStart w:id="0" w:name="_GoBack"/>
      <w:bookmarkEnd w:id="0"/>
      <w:r w:rsidRPr="00282495">
        <w:rPr>
          <w:rFonts w:asciiTheme="minorHAnsi" w:hAnsiTheme="minorHAnsi"/>
          <w:sz w:val="18"/>
          <w:szCs w:val="18"/>
        </w:rPr>
        <w:t>Excellent IT skills (working knowledge and experience of COINS preferred).</w:t>
      </w:r>
      <w:r w:rsidRPr="00282495">
        <w:rPr>
          <w:rFonts w:asciiTheme="minorHAnsi" w:hAnsiTheme="minorHAnsi"/>
          <w:sz w:val="18"/>
          <w:szCs w:val="18"/>
        </w:rPr>
        <w:cr/>
      </w:r>
    </w:p>
    <w:p w14:paraId="2A6BE0A0" w14:textId="77777777" w:rsidR="00E23F0D" w:rsidRDefault="00E654BF" w:rsidP="00E654BF">
      <w:pPr>
        <w:spacing w:after="200" w:line="276" w:lineRule="auto"/>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r w:rsidR="000D6C4C">
        <w:rPr>
          <w:rFonts w:ascii="Calibri" w:eastAsia="Calibri" w:hAnsi="Calibri"/>
          <w:b/>
          <w:sz w:val="18"/>
          <w:szCs w:val="18"/>
        </w:rPr>
        <w:t xml:space="preserve"> </w:t>
      </w:r>
    </w:p>
    <w:p w14:paraId="2A6BE0A1" w14:textId="77777777" w:rsidR="001C37E0" w:rsidRPr="001F01A9"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2A6BE0A2" w14:textId="77777777" w:rsidR="001C37E0" w:rsidRDefault="001C37E0" w:rsidP="001C37E0">
      <w:pPr>
        <w:rPr>
          <w:rFonts w:asciiTheme="minorHAnsi" w:eastAsia="Calibri" w:hAnsiTheme="minorHAnsi"/>
          <w:iCs/>
          <w:sz w:val="18"/>
          <w:szCs w:val="18"/>
        </w:rPr>
      </w:pPr>
    </w:p>
    <w:p w14:paraId="2A6BE0A3" w14:textId="77777777" w:rsidR="001C37E0" w:rsidRPr="001F01A9"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2A6BE0A4" w14:textId="77777777" w:rsidR="001C37E0" w:rsidRPr="001F01A9"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2A6BE0A5" w14:textId="77777777" w:rsidR="001C37E0" w:rsidRPr="001F01A9"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2A6BE0A6" w14:textId="77777777" w:rsidR="001C37E0" w:rsidRPr="001F01A9"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DVLA</w:t>
      </w:r>
    </w:p>
    <w:p w14:paraId="2A6BE0A7" w14:textId="77777777" w:rsidR="001C37E0" w:rsidRDefault="001C37E0" w:rsidP="001C37E0">
      <w:pPr>
        <w:rPr>
          <w:rFonts w:asciiTheme="minorHAnsi" w:eastAsia="Calibri" w:hAnsiTheme="minorHAnsi"/>
          <w:iCs/>
          <w:sz w:val="18"/>
          <w:szCs w:val="18"/>
        </w:rPr>
      </w:pPr>
    </w:p>
    <w:p w14:paraId="2A6BE0A8" w14:textId="77777777" w:rsidR="001C37E0" w:rsidRDefault="001C37E0" w:rsidP="001C37E0">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2A6BE0A9" w14:textId="77777777" w:rsidR="001C37E0" w:rsidRPr="001C37E0" w:rsidRDefault="001C37E0" w:rsidP="001C37E0">
      <w:pPr>
        <w:rPr>
          <w:rFonts w:asciiTheme="minorHAnsi" w:eastAsia="Calibri" w:hAnsiTheme="minorHAnsi"/>
          <w:sz w:val="18"/>
          <w:szCs w:val="18"/>
        </w:rPr>
      </w:pPr>
    </w:p>
    <w:p w14:paraId="2A6BE0AA"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14:paraId="2A6BE0AB"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2A6BE0AC"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2A6BE0AD" w14:textId="77777777" w:rsidR="008348A1"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A6BE0AE" w14:textId="77777777" w:rsidR="00D8206D" w:rsidRPr="00D8206D" w:rsidRDefault="00D8206D" w:rsidP="00EB07AF">
      <w:pPr>
        <w:spacing w:after="200" w:line="276" w:lineRule="auto"/>
        <w:rPr>
          <w:rFonts w:ascii="Calibri" w:eastAsia="Calibri" w:hAnsi="Calibri"/>
          <w:b/>
          <w:sz w:val="18"/>
          <w:szCs w:val="18"/>
        </w:rPr>
      </w:pPr>
      <w:r w:rsidRPr="00D8206D">
        <w:rPr>
          <w:rFonts w:ascii="Calibri" w:eastAsia="Calibri" w:hAnsi="Calibri"/>
          <w:b/>
          <w:sz w:val="18"/>
          <w:szCs w:val="18"/>
        </w:rPr>
        <w:t>Internal Applicants – Please advise your Line Manager if applying for this role.</w:t>
      </w:r>
    </w:p>
    <w:p w14:paraId="2A6BE0AF" w14:textId="77777777" w:rsidR="00DE28E0" w:rsidRDefault="00DE28E0" w:rsidP="00EB07AF">
      <w:pPr>
        <w:spacing w:after="200" w:line="276" w:lineRule="auto"/>
        <w:rPr>
          <w:rFonts w:ascii="Calibri" w:eastAsia="Calibri" w:hAnsi="Calibri"/>
          <w:sz w:val="18"/>
          <w:szCs w:val="18"/>
        </w:rPr>
      </w:pPr>
    </w:p>
    <w:sectPr w:rsidR="00DE28E0" w:rsidSect="001102F3">
      <w:head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DC32" w14:textId="77777777" w:rsidR="002A2A75" w:rsidRDefault="002A2A75">
      <w:r>
        <w:separator/>
      </w:r>
    </w:p>
  </w:endnote>
  <w:endnote w:type="continuationSeparator" w:id="0">
    <w:p w14:paraId="217C3D39" w14:textId="77777777" w:rsidR="002A2A75" w:rsidRDefault="002A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04F8D" w14:textId="77777777" w:rsidR="002A2A75" w:rsidRDefault="002A2A75">
      <w:r>
        <w:separator/>
      </w:r>
    </w:p>
  </w:footnote>
  <w:footnote w:type="continuationSeparator" w:id="0">
    <w:p w14:paraId="1EA3C58B" w14:textId="77777777" w:rsidR="002A2A75" w:rsidRDefault="002A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E0B4"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A6BE0B7" wp14:editId="2A6BE0B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BE0B5" w14:textId="77777777" w:rsidR="004B5135" w:rsidRPr="00324E59" w:rsidRDefault="004B5135" w:rsidP="00B9191F">
    <w:pPr>
      <w:pStyle w:val="Header"/>
      <w:jc w:val="both"/>
      <w:rPr>
        <w:rFonts w:ascii="Arial" w:hAnsi="Arial" w:cs="Arial"/>
        <w:b/>
        <w:bCs/>
        <w:color w:val="CC0000"/>
        <w:sz w:val="22"/>
        <w:szCs w:val="22"/>
      </w:rPr>
    </w:pPr>
  </w:p>
  <w:p w14:paraId="2A6BE0B6"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14BCA"/>
    <w:multiLevelType w:val="hybridMultilevel"/>
    <w:tmpl w:val="7B0AAE4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810759"/>
    <w:multiLevelType w:val="hybridMultilevel"/>
    <w:tmpl w:val="2ECA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33406"/>
    <w:multiLevelType w:val="hybridMultilevel"/>
    <w:tmpl w:val="0B76F9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216A9"/>
    <w:multiLevelType w:val="hybridMultilevel"/>
    <w:tmpl w:val="151C4C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C235E"/>
    <w:multiLevelType w:val="hybridMultilevel"/>
    <w:tmpl w:val="10DE8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0ACF"/>
    <w:multiLevelType w:val="hybridMultilevel"/>
    <w:tmpl w:val="D498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4FF7"/>
    <w:multiLevelType w:val="hybridMultilevel"/>
    <w:tmpl w:val="F7C4A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A5CC2"/>
    <w:multiLevelType w:val="multilevel"/>
    <w:tmpl w:val="AF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4"/>
  </w:num>
  <w:num w:numId="6">
    <w:abstractNumId w:val="5"/>
  </w:num>
  <w:num w:numId="7">
    <w:abstractNumId w:val="6"/>
  </w:num>
  <w:num w:numId="8">
    <w:abstractNumId w:val="8"/>
  </w:num>
  <w:num w:numId="9">
    <w:abstractNumId w:val="1"/>
  </w:num>
  <w:num w:numId="10">
    <w:abstractNumId w:val="9"/>
  </w:num>
  <w:num w:numId="11">
    <w:abstractNumId w:val="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1B93"/>
    <w:rsid w:val="00004984"/>
    <w:rsid w:val="00035418"/>
    <w:rsid w:val="00037868"/>
    <w:rsid w:val="000427EC"/>
    <w:rsid w:val="00043411"/>
    <w:rsid w:val="00051C08"/>
    <w:rsid w:val="000B368F"/>
    <w:rsid w:val="000B541E"/>
    <w:rsid w:val="000D6C4C"/>
    <w:rsid w:val="000D6F59"/>
    <w:rsid w:val="000F18EC"/>
    <w:rsid w:val="0010370B"/>
    <w:rsid w:val="001102F3"/>
    <w:rsid w:val="001265E9"/>
    <w:rsid w:val="00140AA0"/>
    <w:rsid w:val="001601AA"/>
    <w:rsid w:val="001635C1"/>
    <w:rsid w:val="001A4C15"/>
    <w:rsid w:val="001A5FBA"/>
    <w:rsid w:val="001C37E0"/>
    <w:rsid w:val="001D147B"/>
    <w:rsid w:val="001E1733"/>
    <w:rsid w:val="00206E3D"/>
    <w:rsid w:val="002308AF"/>
    <w:rsid w:val="002443F1"/>
    <w:rsid w:val="00254C2A"/>
    <w:rsid w:val="00255CE1"/>
    <w:rsid w:val="00282311"/>
    <w:rsid w:val="00282495"/>
    <w:rsid w:val="002A2A75"/>
    <w:rsid w:val="002B07B4"/>
    <w:rsid w:val="002C0237"/>
    <w:rsid w:val="002E689B"/>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7F7B36"/>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9D4BEE"/>
    <w:rsid w:val="00A25686"/>
    <w:rsid w:val="00A31A16"/>
    <w:rsid w:val="00A3311A"/>
    <w:rsid w:val="00A93059"/>
    <w:rsid w:val="00AA00F4"/>
    <w:rsid w:val="00AA1EDE"/>
    <w:rsid w:val="00AA563C"/>
    <w:rsid w:val="00AA5BAF"/>
    <w:rsid w:val="00AB5EED"/>
    <w:rsid w:val="00AC1EF8"/>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834F8"/>
    <w:rsid w:val="00CC5874"/>
    <w:rsid w:val="00CC78FE"/>
    <w:rsid w:val="00CD483B"/>
    <w:rsid w:val="00CD6936"/>
    <w:rsid w:val="00CD6C56"/>
    <w:rsid w:val="00D053A2"/>
    <w:rsid w:val="00D2067F"/>
    <w:rsid w:val="00D53130"/>
    <w:rsid w:val="00D8206D"/>
    <w:rsid w:val="00D937EF"/>
    <w:rsid w:val="00DA0EFA"/>
    <w:rsid w:val="00DC0AC2"/>
    <w:rsid w:val="00DC300B"/>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BE080"/>
  <w15:docId w15:val="{D708C3C9-9ECD-4CFB-9AF3-17F40058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unhideWhenUsed/>
    <w:rsid w:val="007F7B36"/>
    <w:rPr>
      <w:rFonts w:ascii="Tahoma" w:hAnsi="Tahoma"/>
      <w:szCs w:val="20"/>
    </w:rPr>
  </w:style>
  <w:style w:type="character" w:customStyle="1" w:styleId="BodyTextChar">
    <w:name w:val="Body Text Char"/>
    <w:basedOn w:val="DefaultParagraphFont"/>
    <w:link w:val="BodyText"/>
    <w:rsid w:val="007F7B36"/>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0B71-4A1C-4A1D-85F0-681515D55703}"/>
</file>

<file path=customXml/itemProps2.xml><?xml version="1.0" encoding="utf-8"?>
<ds:datastoreItem xmlns:ds="http://schemas.openxmlformats.org/officeDocument/2006/customXml" ds:itemID="{F51B08EC-E527-45D4-B99D-4A1573D04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9974F-8401-424B-B2F7-8A1B507F34A5}">
  <ds:schemaRefs>
    <ds:schemaRef ds:uri="http://schemas.microsoft.com/sharepoint/v3/contenttype/forms"/>
  </ds:schemaRefs>
</ds:datastoreItem>
</file>

<file path=customXml/itemProps4.xml><?xml version="1.0" encoding="utf-8"?>
<ds:datastoreItem xmlns:ds="http://schemas.openxmlformats.org/officeDocument/2006/customXml" ds:itemID="{FDDE3DB9-6AD9-4E35-B5A3-E768B4EE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4538</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9</cp:revision>
  <cp:lastPrinted>2016-03-10T09:54:00Z</cp:lastPrinted>
  <dcterms:created xsi:type="dcterms:W3CDTF">2016-07-04T13:00:00Z</dcterms:created>
  <dcterms:modified xsi:type="dcterms:W3CDTF">2019-01-17T14:23:00Z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AuthorIds_UIVersion_1024">
    <vt:lpwstr>17</vt:lpwstr>
  </property>
</Properties>
</file>